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E3522" w:rsidRDefault="007F76F7">
      <w:pPr>
        <w:spacing w:before="240" w:after="240"/>
        <w:rPr>
          <w:b/>
          <w:bCs/>
          <w:sz w:val="24"/>
          <w:szCs w:val="24"/>
        </w:rPr>
      </w:pPr>
      <w:r>
        <w:rPr>
          <w:sz w:val="24"/>
          <w:szCs w:val="24"/>
          <w:highlight w:val="red"/>
        </w:rPr>
        <w:t>(ciudad)</w:t>
      </w:r>
      <w:r>
        <w:rPr>
          <w:sz w:val="24"/>
          <w:szCs w:val="24"/>
        </w:rPr>
        <w:t xml:space="preserve"> ; </w:t>
      </w:r>
      <w:r>
        <w:rPr>
          <w:b/>
          <w:bCs/>
          <w:sz w:val="24"/>
          <w:szCs w:val="24"/>
        </w:rPr>
        <w:t>mayo 21 de 2026</w:t>
      </w:r>
    </w:p>
    <w:p w14:paraId="00000002" w14:textId="77777777" w:rsidR="001E3522" w:rsidRDefault="001E3522">
      <w:pPr>
        <w:jc w:val="both"/>
        <w:rPr>
          <w:b/>
          <w:bCs/>
          <w:sz w:val="24"/>
          <w:szCs w:val="24"/>
        </w:rPr>
      </w:pPr>
    </w:p>
    <w:p w14:paraId="00000003" w14:textId="77777777" w:rsidR="001E3522" w:rsidRDefault="007F76F7">
      <w:pPr>
        <w:jc w:val="both"/>
        <w:rPr>
          <w:b/>
          <w:bCs/>
          <w:sz w:val="24"/>
          <w:szCs w:val="24"/>
        </w:rPr>
      </w:pPr>
      <w:r>
        <w:rPr>
          <w:b/>
          <w:bCs/>
          <w:sz w:val="24"/>
          <w:szCs w:val="24"/>
        </w:rPr>
        <w:t>HONORABLE SEÑOR JUEZ</w:t>
      </w:r>
    </w:p>
    <w:p w14:paraId="00000004" w14:textId="77777777" w:rsidR="001E3522" w:rsidRDefault="007F76F7">
      <w:pPr>
        <w:jc w:val="both"/>
        <w:rPr>
          <w:sz w:val="24"/>
          <w:szCs w:val="24"/>
        </w:rPr>
      </w:pPr>
      <w:r>
        <w:rPr>
          <w:b/>
          <w:bCs/>
          <w:sz w:val="24"/>
          <w:szCs w:val="24"/>
        </w:rPr>
        <w:t>AROLDO ANTONIO GÓEZ MEDINA</w:t>
      </w:r>
    </w:p>
    <w:p w14:paraId="00000005" w14:textId="77777777" w:rsidR="001E3522" w:rsidRDefault="007F76F7">
      <w:pPr>
        <w:jc w:val="both"/>
        <w:rPr>
          <w:sz w:val="24"/>
          <w:szCs w:val="24"/>
        </w:rPr>
      </w:pPr>
      <w:r>
        <w:rPr>
          <w:sz w:val="24"/>
          <w:szCs w:val="24"/>
        </w:rPr>
        <w:t>JUZGADO NOVENO CIVIL DEL CIRCUITO DE BOGOTÁ</w:t>
      </w:r>
    </w:p>
    <w:p w14:paraId="00000006" w14:textId="77777777" w:rsidR="001E3522" w:rsidRDefault="007F76F7">
      <w:pPr>
        <w:spacing w:before="240" w:after="240"/>
        <w:jc w:val="both"/>
        <w:rPr>
          <w:sz w:val="24"/>
          <w:szCs w:val="24"/>
        </w:rPr>
      </w:pPr>
      <w:r>
        <w:rPr>
          <w:b/>
          <w:bCs/>
          <w:sz w:val="24"/>
          <w:szCs w:val="24"/>
        </w:rPr>
        <w:t>Correo:</w:t>
      </w:r>
      <w:r>
        <w:rPr>
          <w:sz w:val="24"/>
          <w:szCs w:val="24"/>
        </w:rPr>
        <w:t xml:space="preserve"> </w:t>
      </w:r>
      <w:hyperlink r:id="rId7">
        <w:r>
          <w:rPr>
            <w:color w:val="1155CC"/>
            <w:sz w:val="24"/>
            <w:szCs w:val="24"/>
            <w:u w:val="single"/>
          </w:rPr>
          <w:t>j09cctobt@cendoj.ramajudicial.gov.co</w:t>
        </w:r>
      </w:hyperlink>
    </w:p>
    <w:p w14:paraId="00000007" w14:textId="77777777" w:rsidR="001E3522" w:rsidRDefault="007F76F7">
      <w:pPr>
        <w:jc w:val="both"/>
        <w:rPr>
          <w:sz w:val="24"/>
          <w:szCs w:val="24"/>
        </w:rPr>
      </w:pPr>
      <w:r>
        <w:rPr>
          <w:sz w:val="24"/>
          <w:szCs w:val="24"/>
        </w:rPr>
        <w:br/>
      </w:r>
      <w:r>
        <w:rPr>
          <w:b/>
          <w:bCs/>
          <w:sz w:val="24"/>
          <w:szCs w:val="24"/>
        </w:rPr>
        <w:t>REFERENCIA:</w:t>
      </w:r>
      <w:r>
        <w:rPr>
          <w:sz w:val="24"/>
          <w:szCs w:val="24"/>
        </w:rPr>
        <w:t xml:space="preserve"> Acción de tutela</w:t>
      </w:r>
    </w:p>
    <w:p w14:paraId="75A72C29" w14:textId="77777777" w:rsidR="00E83CA4" w:rsidRDefault="007F76F7">
      <w:pPr>
        <w:jc w:val="both"/>
        <w:rPr>
          <w:sz w:val="24"/>
          <w:szCs w:val="24"/>
        </w:rPr>
      </w:pPr>
      <w:r>
        <w:rPr>
          <w:b/>
          <w:bCs/>
          <w:sz w:val="24"/>
          <w:szCs w:val="24"/>
        </w:rPr>
        <w:t>RADICADO</w:t>
      </w:r>
      <w:r>
        <w:rPr>
          <w:sz w:val="24"/>
          <w:szCs w:val="24"/>
        </w:rPr>
        <w:t>: 110013103 009 2026 0241 00</w:t>
      </w:r>
    </w:p>
    <w:p w14:paraId="00000008" w14:textId="46C0A1DF" w:rsidR="001E3522" w:rsidRDefault="007F76F7">
      <w:pPr>
        <w:jc w:val="both"/>
        <w:rPr>
          <w:sz w:val="24"/>
          <w:szCs w:val="24"/>
        </w:rPr>
      </w:pPr>
      <w:r>
        <w:rPr>
          <w:b/>
          <w:bCs/>
          <w:sz w:val="24"/>
          <w:szCs w:val="24"/>
        </w:rPr>
        <w:t xml:space="preserve">ACCIONANTE: </w:t>
      </w:r>
      <w:r>
        <w:rPr>
          <w:sz w:val="24"/>
          <w:szCs w:val="24"/>
        </w:rPr>
        <w:t>Fiduprevisora S.A. como vocera y administradora del FOMAG y otros</w:t>
      </w:r>
      <w:r>
        <w:rPr>
          <w:sz w:val="24"/>
          <w:szCs w:val="24"/>
        </w:rPr>
        <w:br/>
      </w:r>
      <w:r>
        <w:rPr>
          <w:b/>
          <w:bCs/>
          <w:sz w:val="24"/>
          <w:szCs w:val="24"/>
        </w:rPr>
        <w:t>ACCIONADOS:</w:t>
      </w:r>
      <w:r>
        <w:rPr>
          <w:sz w:val="24"/>
          <w:szCs w:val="24"/>
        </w:rPr>
        <w:t xml:space="preserve"> SUMIMEDICAL S.A.S., Superintendencia Nacional de Salud y Superintendencia de Industria y Comercio</w:t>
      </w:r>
    </w:p>
    <w:p w14:paraId="00000009" w14:textId="77777777" w:rsidR="001E3522" w:rsidRDefault="007F76F7">
      <w:pPr>
        <w:jc w:val="both"/>
        <w:rPr>
          <w:sz w:val="24"/>
          <w:szCs w:val="24"/>
        </w:rPr>
      </w:pPr>
      <w:r>
        <w:rPr>
          <w:sz w:val="24"/>
          <w:szCs w:val="24"/>
        </w:rPr>
        <w:br/>
      </w:r>
      <w:r>
        <w:rPr>
          <w:b/>
          <w:bCs/>
          <w:sz w:val="24"/>
          <w:szCs w:val="24"/>
        </w:rPr>
        <w:t>Asunto:</w:t>
      </w:r>
      <w:r>
        <w:rPr>
          <w:sz w:val="24"/>
          <w:szCs w:val="24"/>
        </w:rPr>
        <w:t xml:space="preserve"> Coadyuvancia de organización sindical filial de FECODE</w:t>
      </w:r>
    </w:p>
    <w:p w14:paraId="0000000A" w14:textId="77777777" w:rsidR="001E3522" w:rsidRDefault="007F76F7">
      <w:pPr>
        <w:spacing w:before="240" w:after="240"/>
        <w:jc w:val="both"/>
        <w:rPr>
          <w:sz w:val="24"/>
          <w:szCs w:val="24"/>
        </w:rPr>
      </w:pPr>
      <w:r>
        <w:rPr>
          <w:sz w:val="24"/>
          <w:szCs w:val="24"/>
        </w:rPr>
        <w:t>Yo, __________________________________, mayor de edad, identificado(a) con cédula de ciudadanía No. _____________________, actuando en calidad de integrante del Comité Ejecutivo de la Federación Colombiana de Trabajadores de la Educación – FECODE, respetuosamente me permito manifestar que COADYUVO la acción de tutela promovida por Fiduprevisora S.A., como vocera y administradora del Fondo Nacional de Prestaciones Sociales del Magisterio – FOMAG, en defensa de los derechos fundamentales a la salud, vida digna, integridad personal, habeas data y continuidad del servicio público esencial de salud de los docentes afiliados, pensionados y beneficiarios del régimen especial del magisterio.</w:t>
      </w:r>
    </w:p>
    <w:p w14:paraId="0000000B" w14:textId="77777777" w:rsidR="001E3522" w:rsidRDefault="007F76F7">
      <w:pPr>
        <w:spacing w:before="240" w:after="240"/>
        <w:jc w:val="both"/>
        <w:rPr>
          <w:b/>
          <w:bCs/>
          <w:sz w:val="24"/>
          <w:szCs w:val="24"/>
        </w:rPr>
      </w:pPr>
      <w:r>
        <w:rPr>
          <w:b/>
          <w:bCs/>
          <w:sz w:val="24"/>
          <w:szCs w:val="24"/>
        </w:rPr>
        <w:t>I. FUNDAMENTOS DE HECHO</w:t>
      </w:r>
    </w:p>
    <w:p w14:paraId="0000000C" w14:textId="77777777" w:rsidR="001E3522" w:rsidRDefault="007F76F7">
      <w:pPr>
        <w:numPr>
          <w:ilvl w:val="0"/>
          <w:numId w:val="1"/>
        </w:numPr>
        <w:spacing w:before="240"/>
        <w:jc w:val="both"/>
        <w:rPr>
          <w:sz w:val="24"/>
          <w:szCs w:val="24"/>
        </w:rPr>
      </w:pPr>
      <w:r>
        <w:rPr>
          <w:sz w:val="24"/>
          <w:szCs w:val="24"/>
          <w:highlight w:val="red"/>
        </w:rPr>
        <w:t>[NOMBRE]</w:t>
      </w:r>
      <w:r>
        <w:rPr>
          <w:sz w:val="24"/>
          <w:szCs w:val="24"/>
          <w:highlight w:val="white"/>
        </w:rPr>
        <w:t xml:space="preserve">, actuando en calidad de integrante del Comité Ejecutivo de la Federación Colombiana de Trabajadores de la Educación – FECODE, organización sindical federativa de carácter nacional y principal expresión organizativa del magisterio colombiano, intervengo dentro de la presente acción de tutela en defensa de los derechos fundamentales a la salud, vida digna, continuidad del servicio público esencial de salud y protección de datos sensibles de los docentes afiliados, pensionados y beneficiarios del régimen especial de salud del magisterio administrado por el FOMAG. </w:t>
      </w:r>
    </w:p>
    <w:p w14:paraId="0000000D" w14:textId="77777777" w:rsidR="001E3522" w:rsidRDefault="007F76F7">
      <w:pPr>
        <w:numPr>
          <w:ilvl w:val="0"/>
          <w:numId w:val="1"/>
        </w:numPr>
        <w:jc w:val="both"/>
        <w:rPr>
          <w:sz w:val="24"/>
          <w:szCs w:val="24"/>
        </w:rPr>
      </w:pPr>
      <w:r>
        <w:rPr>
          <w:sz w:val="24"/>
          <w:szCs w:val="24"/>
        </w:rPr>
        <w:t>La situación puesta en conocimiento del Despacho mediante la acción de tutela de la referencia involucra riesgos ciertos para la continuidad operativa y funcional del sistema de salud del magisterio, particularmente respecto de plataformas tecnológicas y herramientas esenciales para la prestación efectiva de los servicios de salud.</w:t>
      </w:r>
    </w:p>
    <w:p w14:paraId="0000000E" w14:textId="77777777" w:rsidR="001E3522" w:rsidRDefault="007F76F7">
      <w:pPr>
        <w:numPr>
          <w:ilvl w:val="0"/>
          <w:numId w:val="1"/>
        </w:numPr>
        <w:jc w:val="both"/>
        <w:rPr>
          <w:sz w:val="24"/>
          <w:szCs w:val="24"/>
        </w:rPr>
      </w:pPr>
      <w:r>
        <w:rPr>
          <w:sz w:val="24"/>
          <w:szCs w:val="24"/>
        </w:rPr>
        <w:lastRenderedPageBreak/>
        <w:t>La eventual interrupción, degradación, bloqueo, limitación o afectación de dichos sistemas puede impactar directamente procesos relacionados con asignación de citas médicas, entrega de medicamentos, autorizaciones, gestión de información clínica, auditoría, referencia de pacientes y demás componentes esenciales de la prestación del servicio de salud.</w:t>
      </w:r>
    </w:p>
    <w:p w14:paraId="0000000F" w14:textId="77777777" w:rsidR="001E3522" w:rsidRDefault="007F76F7">
      <w:pPr>
        <w:numPr>
          <w:ilvl w:val="0"/>
          <w:numId w:val="1"/>
        </w:numPr>
        <w:jc w:val="both"/>
        <w:rPr>
          <w:sz w:val="24"/>
          <w:szCs w:val="24"/>
        </w:rPr>
      </w:pPr>
      <w:r>
        <w:rPr>
          <w:sz w:val="24"/>
          <w:szCs w:val="24"/>
        </w:rPr>
        <w:t>Las controversias contractuales, económicas, tecnológicas o administrativas entre operadores del sistema no pueden trasladarse a los usuarios ni convertirse en barreras de acceso a los servicios de salud de los docentes afiliados y sus beneficiarios.</w:t>
      </w:r>
    </w:p>
    <w:p w14:paraId="00000010" w14:textId="77777777" w:rsidR="001E3522" w:rsidRDefault="007F76F7">
      <w:pPr>
        <w:numPr>
          <w:ilvl w:val="0"/>
          <w:numId w:val="1"/>
        </w:numPr>
        <w:jc w:val="both"/>
        <w:rPr>
          <w:sz w:val="24"/>
          <w:szCs w:val="24"/>
        </w:rPr>
      </w:pPr>
      <w:r>
        <w:rPr>
          <w:sz w:val="24"/>
          <w:szCs w:val="24"/>
        </w:rPr>
        <w:t>Nuestros afiliados incluyen sujetos de especial protección constitucional, entre ellos adultos mayores, personas con enfermedades crónicas, pacientes de alto costo, personas en condición de discapacidad, mujeres gestantes y niños, niñas y adolescentes beneficiarios del sistema.</w:t>
      </w:r>
    </w:p>
    <w:p w14:paraId="00000011" w14:textId="77777777" w:rsidR="001E3522" w:rsidRDefault="007F76F7">
      <w:pPr>
        <w:numPr>
          <w:ilvl w:val="0"/>
          <w:numId w:val="1"/>
        </w:numPr>
        <w:spacing w:after="240"/>
        <w:jc w:val="both"/>
        <w:rPr>
          <w:sz w:val="24"/>
          <w:szCs w:val="24"/>
        </w:rPr>
      </w:pPr>
      <w:r>
        <w:rPr>
          <w:sz w:val="24"/>
          <w:szCs w:val="24"/>
        </w:rPr>
        <w:t>La garantía del derecho fundamental a la salud exige la adopción de medidas urgentes, eficaces y proporcionales orientadas a asegurar la continuidad del servicio, la adecuada operación tecnológica del sistema y la protección de la información clínica y administrativa de la población afiliada al FOMAG.</w:t>
      </w:r>
    </w:p>
    <w:p w14:paraId="00000012" w14:textId="77777777" w:rsidR="001E3522" w:rsidRDefault="007F76F7">
      <w:pPr>
        <w:spacing w:before="240" w:after="240"/>
        <w:jc w:val="both"/>
        <w:rPr>
          <w:b/>
          <w:bCs/>
          <w:sz w:val="24"/>
          <w:szCs w:val="24"/>
        </w:rPr>
      </w:pPr>
      <w:r>
        <w:rPr>
          <w:b/>
          <w:bCs/>
          <w:sz w:val="24"/>
          <w:szCs w:val="24"/>
        </w:rPr>
        <w:t>II. FUNDAMENTOS CONSTITUCIONALES, LEGALES Y JURISPRUDENCIALES</w:t>
      </w:r>
    </w:p>
    <w:p w14:paraId="00000013" w14:textId="77777777" w:rsidR="001E3522" w:rsidRDefault="007F76F7">
      <w:pPr>
        <w:spacing w:before="240" w:after="240"/>
        <w:jc w:val="both"/>
        <w:rPr>
          <w:sz w:val="24"/>
          <w:szCs w:val="24"/>
        </w:rPr>
      </w:pPr>
      <w:r>
        <w:rPr>
          <w:sz w:val="24"/>
          <w:szCs w:val="24"/>
        </w:rPr>
        <w:t>La presente coadyuvancia se fundamenta en los artículos 1, 2, 13, 15, 48, 49, 86 y 93 de la Constitución Política; en la Ley Estatutaria 1751 de 2015; en la Ley 1581 de 2012 sobre protección de datos personales; en el Decreto 2591 de 1991; y en la jurisprudencia reiterada de la Corte Constitucional sobre el carácter fundamental del derecho a la salud y la continuidad del servicio público esencial de salud.</w:t>
      </w:r>
    </w:p>
    <w:p w14:paraId="00000014" w14:textId="77777777" w:rsidR="001E3522" w:rsidRDefault="007F76F7">
      <w:pPr>
        <w:spacing w:before="240" w:after="240"/>
        <w:jc w:val="both"/>
        <w:rPr>
          <w:sz w:val="24"/>
          <w:szCs w:val="24"/>
        </w:rPr>
      </w:pPr>
      <w:r>
        <w:rPr>
          <w:sz w:val="24"/>
          <w:szCs w:val="24"/>
        </w:rPr>
        <w:t>El artículo 48 de la Constitución Política establece que la seguridad social constituye un servicio público obligatorio regido por los principios de eficiencia, universalidad y solidaridad, mientras que el artículo 49 Superior reconoce la salud como un servicio público esencial a cargo del Estado y garantiza a todas las personas el acceso a los servicios de promoción, protección y recuperación de la salud.</w:t>
      </w:r>
    </w:p>
    <w:p w14:paraId="00000015" w14:textId="77777777" w:rsidR="001E3522" w:rsidRDefault="007F76F7">
      <w:pPr>
        <w:spacing w:before="240" w:after="240"/>
        <w:jc w:val="both"/>
        <w:rPr>
          <w:sz w:val="24"/>
          <w:szCs w:val="24"/>
        </w:rPr>
      </w:pPr>
      <w:r>
        <w:rPr>
          <w:sz w:val="24"/>
          <w:szCs w:val="24"/>
        </w:rPr>
        <w:t>Por su parte, el artículo 2 de la Constitución impone a las autoridades de la República el deber de garantizar la efectividad de los principios, derechos y deberes constitucionales, obligación que adquiere especial relevancia cuando se trata de la prestación continua y efectiva de servicios públicos esenciales relacionados con la vida, la salud y la dignidad humana.</w:t>
      </w:r>
    </w:p>
    <w:p w14:paraId="00000016" w14:textId="77777777" w:rsidR="001E3522" w:rsidRDefault="007F76F7">
      <w:pPr>
        <w:spacing w:before="240" w:after="240"/>
        <w:jc w:val="both"/>
        <w:rPr>
          <w:sz w:val="24"/>
          <w:szCs w:val="24"/>
        </w:rPr>
      </w:pPr>
      <w:r>
        <w:rPr>
          <w:sz w:val="24"/>
          <w:szCs w:val="24"/>
        </w:rPr>
        <w:t>En desarrollo de dichos mandatos superiores, la Ley Estatutaria 1751 de 2015 reconoció expresamente la salud como un derecho fundamental autónomo e irrenunciable en lo individual y en lo colectivo.</w:t>
      </w:r>
    </w:p>
    <w:p w14:paraId="00000017" w14:textId="77777777" w:rsidR="001E3522" w:rsidRDefault="007F76F7">
      <w:pPr>
        <w:spacing w:before="240" w:after="240"/>
        <w:jc w:val="both"/>
        <w:rPr>
          <w:sz w:val="24"/>
          <w:szCs w:val="24"/>
        </w:rPr>
      </w:pPr>
      <w:r>
        <w:rPr>
          <w:sz w:val="24"/>
          <w:szCs w:val="24"/>
        </w:rPr>
        <w:t>La referida ley establece que el derecho fundamental a la salud comprende el acceso oportuno, eficaz y de calidad a los servicios requeridos para la preservación, mantenimiento y recuperación de la salud, bajo la dirección, regulación y control del Estado.</w:t>
      </w:r>
    </w:p>
    <w:p w14:paraId="00000018" w14:textId="77777777" w:rsidR="001E3522" w:rsidRDefault="007F76F7">
      <w:pPr>
        <w:spacing w:before="240" w:after="240"/>
        <w:jc w:val="both"/>
        <w:rPr>
          <w:sz w:val="24"/>
          <w:szCs w:val="24"/>
        </w:rPr>
      </w:pPr>
      <w:r>
        <w:rPr>
          <w:sz w:val="24"/>
          <w:szCs w:val="24"/>
        </w:rPr>
        <w:t>Igualmente, el artículo 6 de la Ley 1751 de 2015 consagra como principios esenciales del derecho a la salud la continuidad, integralidad, accesibilidad, disponibilidad, eficiencia y oportunidad, señalando expresamente que los servicios de salud no podrán ser interrumpidos por razones administrativas o económicas.</w:t>
      </w:r>
    </w:p>
    <w:p w14:paraId="00000019" w14:textId="77777777" w:rsidR="001E3522" w:rsidRDefault="007F76F7">
      <w:pPr>
        <w:spacing w:before="240" w:after="240"/>
        <w:jc w:val="both"/>
        <w:rPr>
          <w:sz w:val="24"/>
          <w:szCs w:val="24"/>
        </w:rPr>
      </w:pPr>
      <w:r>
        <w:rPr>
          <w:sz w:val="24"/>
          <w:szCs w:val="24"/>
        </w:rPr>
        <w:t>La misma normativa prohíbe trasladar a los usuarios cargas administrativas o barreras derivadas de las relaciones internas entre los actores del sistema de salud.</w:t>
      </w:r>
    </w:p>
    <w:p w14:paraId="0000001A" w14:textId="77777777" w:rsidR="001E3522" w:rsidRDefault="007F76F7">
      <w:pPr>
        <w:spacing w:before="240" w:after="240"/>
        <w:jc w:val="both"/>
        <w:rPr>
          <w:sz w:val="24"/>
          <w:szCs w:val="24"/>
        </w:rPr>
      </w:pPr>
      <w:r>
        <w:rPr>
          <w:sz w:val="24"/>
          <w:szCs w:val="24"/>
        </w:rPr>
        <w:t>La Corte Constitucional, mediante la Sentencia T-760 de 2008, consolidó el carácter fundamental autónomo del derecho a la salud y precisó que las fallas administrativas, regulatorias, financieras, operativas o de coordinación institucional no pueden convertirse en obstáculos para el acceso efectivo a los servicios de salud requeridos por la población.</w:t>
      </w:r>
    </w:p>
    <w:p w14:paraId="0000001B" w14:textId="77777777" w:rsidR="001E3522" w:rsidRDefault="007F76F7">
      <w:pPr>
        <w:spacing w:before="240" w:after="240"/>
        <w:jc w:val="both"/>
        <w:rPr>
          <w:sz w:val="24"/>
          <w:szCs w:val="24"/>
        </w:rPr>
      </w:pPr>
      <w:r>
        <w:rPr>
          <w:sz w:val="24"/>
          <w:szCs w:val="24"/>
        </w:rPr>
        <w:t>La citada providencia reiteró igualmente que el acceso a los servicios de salud debe garantizarse de manera continua, integral y efectiva, sin interrupciones derivadas de trámites administrativos, disputas internas, dificultades operativas o controversias entre los distintos agentes responsables de la prestación del servicio.</w:t>
      </w:r>
    </w:p>
    <w:p w14:paraId="0000001C" w14:textId="77777777" w:rsidR="001E3522" w:rsidRDefault="007F76F7">
      <w:pPr>
        <w:spacing w:before="240" w:after="240"/>
        <w:jc w:val="both"/>
        <w:rPr>
          <w:sz w:val="24"/>
          <w:szCs w:val="24"/>
        </w:rPr>
      </w:pPr>
      <w:r>
        <w:rPr>
          <w:sz w:val="24"/>
          <w:szCs w:val="24"/>
        </w:rPr>
        <w:t>En el mismo sentido, la jurisprudencia constitucional ha sostenido que la continuidad del servicio público de salud constituye un componente esencial del derecho fundamental a la salud y que su interrupción vulnera directamente derechos fundamentales, especialmente cuando la afectación recae sobre sujetos de especial protección constitucional, tales como adultos mayores, personas con enfermedades de alto costo, pacientes crónicos, personas en condición de discapacidad, niños, niñas y adolescentes.</w:t>
      </w:r>
    </w:p>
    <w:p w14:paraId="0000001D" w14:textId="77777777" w:rsidR="001E3522" w:rsidRDefault="007F76F7">
      <w:pPr>
        <w:spacing w:before="240" w:after="240"/>
        <w:jc w:val="both"/>
        <w:rPr>
          <w:sz w:val="24"/>
          <w:szCs w:val="24"/>
        </w:rPr>
      </w:pPr>
      <w:r>
        <w:rPr>
          <w:sz w:val="24"/>
          <w:szCs w:val="24"/>
        </w:rPr>
        <w:t>De igual forma, el artículo 15 de la Constitución Política y la Ley 1581 de 2012 imponen especiales deberes de protección respecto de los datos personales sensibles relacionados con la salud, la historia clínica y la información médica de los usuarios del sistema, cuya integridad, disponibilidad, seguridad y confidencialidad deben ser garantizadas permanentemente por todos los actores involucrados en su administración y tratamiento.</w:t>
      </w:r>
    </w:p>
    <w:p w14:paraId="0000001E" w14:textId="77777777" w:rsidR="001E3522" w:rsidRDefault="007F76F7">
      <w:pPr>
        <w:spacing w:before="240" w:after="240"/>
        <w:jc w:val="both"/>
        <w:rPr>
          <w:sz w:val="24"/>
          <w:szCs w:val="24"/>
        </w:rPr>
      </w:pPr>
      <w:r>
        <w:rPr>
          <w:sz w:val="24"/>
          <w:szCs w:val="24"/>
        </w:rPr>
        <w:t>Bajo ese marco constitucional, legal y jurisprudencial, las controversias contractuales, económicas, tecnológicas o administrativas existentes entre operadores del sistema de salud del magisterio no pueden trasladarse a los usuarios ni convertirse en barreras de acceso, interrupciones funcionales o afectaciones a la continuidad del servicio público esencial de salud de la población docente afiliada al FOMAG.</w:t>
      </w:r>
    </w:p>
    <w:p w14:paraId="0000001F" w14:textId="77777777" w:rsidR="001E3522" w:rsidRDefault="007F76F7">
      <w:pPr>
        <w:spacing w:before="240" w:after="240"/>
        <w:jc w:val="both"/>
        <w:rPr>
          <w:sz w:val="24"/>
          <w:szCs w:val="24"/>
        </w:rPr>
      </w:pPr>
      <w:r>
        <w:rPr>
          <w:sz w:val="24"/>
          <w:szCs w:val="24"/>
        </w:rPr>
        <w:t>Por el contrario, el enfoque constitucional prevalente exige adoptar todas las medidas necesarias para garantizar la continuidad operativa, tecnológica y funcional del sistema de salud del magisterio, privilegiando la protección efectiva del derecho fundamental a la salud sobre cualquier controversia patrimonial, contractual o comercial existente entre los actores involucrados.</w:t>
      </w:r>
    </w:p>
    <w:p w14:paraId="00000020" w14:textId="77777777" w:rsidR="001E3522" w:rsidRDefault="007F76F7">
      <w:pPr>
        <w:spacing w:before="240" w:after="240"/>
        <w:jc w:val="both"/>
        <w:rPr>
          <w:b/>
          <w:bCs/>
          <w:sz w:val="24"/>
          <w:szCs w:val="24"/>
        </w:rPr>
      </w:pPr>
      <w:r>
        <w:rPr>
          <w:b/>
          <w:bCs/>
          <w:sz w:val="24"/>
          <w:szCs w:val="24"/>
        </w:rPr>
        <w:t>III. NECESIDAD DE ADOPTAR MEDIDAS CONSTITUCIONALES URGENTES</w:t>
      </w:r>
    </w:p>
    <w:p w14:paraId="00000021" w14:textId="77777777" w:rsidR="001E3522" w:rsidRDefault="007F76F7">
      <w:pPr>
        <w:spacing w:before="240" w:after="240"/>
        <w:jc w:val="both"/>
        <w:rPr>
          <w:sz w:val="24"/>
          <w:szCs w:val="24"/>
        </w:rPr>
      </w:pPr>
      <w:r>
        <w:rPr>
          <w:sz w:val="24"/>
          <w:szCs w:val="24"/>
        </w:rPr>
        <w:t>Teniendo en cuenta la naturaleza fundamental del derecho a la salud, el carácter esencial del servicio público de salud y el riesgo de afectación masiva a la población afiliada al FOMAG, respetuosamente solicito al Despacho adoptar medidas constitucionales orientadas a garantizar la continuidad operativa, tecnológica y funcional del sistema de salud del magisterio mientras se resuelven las controversias contractuales o económicas existentes entre los distintos actores involucrados.</w:t>
      </w:r>
    </w:p>
    <w:p w14:paraId="00000022" w14:textId="77777777" w:rsidR="001E3522" w:rsidRDefault="007F76F7">
      <w:pPr>
        <w:spacing w:before="240" w:after="240"/>
        <w:jc w:val="both"/>
        <w:rPr>
          <w:sz w:val="24"/>
          <w:szCs w:val="24"/>
        </w:rPr>
      </w:pPr>
      <w:r>
        <w:rPr>
          <w:sz w:val="24"/>
          <w:szCs w:val="24"/>
        </w:rPr>
        <w:t>En consecuencia, solicito considerar la adopción de medidas encaminadas a:</w:t>
      </w:r>
    </w:p>
    <w:p w14:paraId="00000023" w14:textId="77777777" w:rsidR="001E3522" w:rsidRDefault="007F76F7">
      <w:pPr>
        <w:spacing w:before="240" w:after="240"/>
        <w:ind w:left="720"/>
        <w:jc w:val="both"/>
        <w:rPr>
          <w:sz w:val="24"/>
          <w:szCs w:val="24"/>
        </w:rPr>
      </w:pPr>
      <w:r>
        <w:rPr>
          <w:sz w:val="24"/>
          <w:szCs w:val="24"/>
        </w:rPr>
        <w:t>a) Garantizar la continuidad tecnológica y operativa del sistema de salud del magisterio, evitando cualquier afectación que comprometa la prestación efectiva de los servicios médicos, administrativos y asistenciales requeridos por los usuarios.</w:t>
      </w:r>
    </w:p>
    <w:p w14:paraId="00000024" w14:textId="77777777" w:rsidR="001E3522" w:rsidRDefault="007F76F7">
      <w:pPr>
        <w:spacing w:before="240" w:after="240"/>
        <w:ind w:left="720"/>
        <w:jc w:val="both"/>
        <w:rPr>
          <w:sz w:val="24"/>
          <w:szCs w:val="24"/>
        </w:rPr>
      </w:pPr>
      <w:r>
        <w:rPr>
          <w:sz w:val="24"/>
          <w:szCs w:val="24"/>
        </w:rPr>
        <w:t>b) Prevenir la suspensión, degradación, limitación, bloqueo, restricción o afectación funcional de las plataformas tecnológicas, sistemas de información, herramientas digitales o componentes operativos indispensables para el funcionamiento del modelo de salud del FOMAG.</w:t>
      </w:r>
    </w:p>
    <w:p w14:paraId="00000025" w14:textId="77777777" w:rsidR="001E3522" w:rsidRDefault="007F76F7">
      <w:pPr>
        <w:spacing w:before="240" w:after="240"/>
        <w:ind w:left="720"/>
        <w:jc w:val="both"/>
        <w:rPr>
          <w:sz w:val="24"/>
          <w:szCs w:val="24"/>
        </w:rPr>
      </w:pPr>
      <w:r>
        <w:rPr>
          <w:sz w:val="24"/>
          <w:szCs w:val="24"/>
        </w:rPr>
        <w:t>c) Proteger la integridad, disponibilidad, seguridad, trazabilidad, interoperabilidad y confidencialidad de los datos personales y sensibles en salud de los afiliados, beneficiarios y pensionados del sistema.</w:t>
      </w:r>
    </w:p>
    <w:p w14:paraId="00000026" w14:textId="77777777" w:rsidR="001E3522" w:rsidRDefault="007F76F7">
      <w:pPr>
        <w:spacing w:before="240" w:after="240"/>
        <w:ind w:left="720"/>
        <w:jc w:val="both"/>
        <w:rPr>
          <w:sz w:val="24"/>
          <w:szCs w:val="24"/>
        </w:rPr>
      </w:pPr>
      <w:r>
        <w:rPr>
          <w:sz w:val="24"/>
          <w:szCs w:val="24"/>
        </w:rPr>
        <w:t>d) Garantizar que la operación tecnológica y funcional necesaria para la prestación del servicio de salud se mantenga de manera continua e ininterrumpida mientras se resuelven los conflictos contractuales, económicos, técnicos o comerciales existentes entre los actores involucrados.</w:t>
      </w:r>
    </w:p>
    <w:p w14:paraId="00000027" w14:textId="77777777" w:rsidR="001E3522" w:rsidRDefault="007F76F7">
      <w:pPr>
        <w:spacing w:before="240" w:after="240"/>
        <w:ind w:left="720"/>
        <w:jc w:val="both"/>
        <w:rPr>
          <w:sz w:val="24"/>
          <w:szCs w:val="24"/>
        </w:rPr>
      </w:pPr>
      <w:r>
        <w:rPr>
          <w:sz w:val="24"/>
          <w:szCs w:val="24"/>
        </w:rPr>
        <w:t>e) Ordenar mecanismos de coordinación institucional, articulación técnica y seguimiento entre las entidades accionadas y las autoridades competentes, con el fin de prevenir afectaciones al servicio de salud y asegurar la continuidad en la atención de la población afiliada al FOMAG.</w:t>
      </w:r>
    </w:p>
    <w:p w14:paraId="0000002B" w14:textId="77777777" w:rsidR="001E3522" w:rsidRDefault="007F76F7">
      <w:pPr>
        <w:spacing w:before="240" w:after="240"/>
        <w:jc w:val="both"/>
        <w:rPr>
          <w:b/>
          <w:bCs/>
          <w:sz w:val="24"/>
          <w:szCs w:val="24"/>
        </w:rPr>
      </w:pPr>
      <w:r>
        <w:rPr>
          <w:b/>
          <w:bCs/>
          <w:sz w:val="24"/>
          <w:szCs w:val="24"/>
        </w:rPr>
        <w:t>IV. SOLICITUDES</w:t>
      </w:r>
    </w:p>
    <w:p w14:paraId="0000002C" w14:textId="77777777" w:rsidR="001E3522" w:rsidRDefault="007F76F7">
      <w:pPr>
        <w:spacing w:before="240" w:after="240"/>
        <w:jc w:val="both"/>
        <w:rPr>
          <w:sz w:val="24"/>
          <w:szCs w:val="24"/>
        </w:rPr>
      </w:pPr>
      <w:r>
        <w:rPr>
          <w:b/>
          <w:bCs/>
          <w:sz w:val="24"/>
          <w:szCs w:val="24"/>
        </w:rPr>
        <w:t>PRIMERO.</w:t>
      </w:r>
      <w:r>
        <w:rPr>
          <w:sz w:val="24"/>
          <w:szCs w:val="24"/>
        </w:rPr>
        <w:t xml:space="preserve"> Tener a </w:t>
      </w:r>
      <w:r>
        <w:rPr>
          <w:sz w:val="24"/>
          <w:szCs w:val="24"/>
          <w:highlight w:val="red"/>
        </w:rPr>
        <w:t>NOMBRE DEL EJECUTIVO</w:t>
      </w:r>
      <w:r>
        <w:rPr>
          <w:sz w:val="24"/>
          <w:szCs w:val="24"/>
        </w:rPr>
        <w:t xml:space="preserve"> como coadyuvante dentro de la acción de tutela de la referencia.</w:t>
      </w:r>
    </w:p>
    <w:p w14:paraId="0000002D" w14:textId="77777777" w:rsidR="001E3522" w:rsidRDefault="007F76F7">
      <w:pPr>
        <w:spacing w:before="240" w:after="240"/>
        <w:jc w:val="both"/>
        <w:rPr>
          <w:sz w:val="24"/>
          <w:szCs w:val="24"/>
        </w:rPr>
      </w:pPr>
      <w:r>
        <w:rPr>
          <w:b/>
          <w:bCs/>
          <w:sz w:val="24"/>
          <w:szCs w:val="24"/>
        </w:rPr>
        <w:t>SEGUNDO.</w:t>
      </w:r>
      <w:r>
        <w:rPr>
          <w:sz w:val="24"/>
          <w:szCs w:val="24"/>
        </w:rPr>
        <w:t xml:space="preserve"> Amparar los derechos fundamentales invocados por la parte accionante, especialmente los derechos a la salud, vida digna, integridad personal, habeas data y continuidad del servicio público esencial de salud de la población afiliada al FOMAG.</w:t>
      </w:r>
    </w:p>
    <w:p w14:paraId="0000002E" w14:textId="77777777" w:rsidR="001E3522" w:rsidRDefault="007F76F7">
      <w:pPr>
        <w:spacing w:before="240" w:after="240"/>
        <w:jc w:val="both"/>
        <w:rPr>
          <w:sz w:val="24"/>
          <w:szCs w:val="24"/>
        </w:rPr>
      </w:pPr>
      <w:r>
        <w:rPr>
          <w:b/>
          <w:bCs/>
          <w:sz w:val="24"/>
          <w:szCs w:val="24"/>
        </w:rPr>
        <w:t>TERCERO.</w:t>
      </w:r>
      <w:r>
        <w:rPr>
          <w:sz w:val="24"/>
          <w:szCs w:val="24"/>
        </w:rPr>
        <w:t xml:space="preserve"> Adoptar las medidas necesarias para garantizar la continuidad operativa, tecnológica y funcional del sistema de salud del magisterio mientras se resuelven las controversias existentes entre los distintos actores involucrados.</w:t>
      </w:r>
    </w:p>
    <w:p w14:paraId="0000002F" w14:textId="77777777" w:rsidR="001E3522" w:rsidRDefault="007F76F7">
      <w:pPr>
        <w:spacing w:before="240" w:after="240"/>
        <w:jc w:val="both"/>
        <w:rPr>
          <w:sz w:val="24"/>
          <w:szCs w:val="24"/>
        </w:rPr>
      </w:pPr>
      <w:r>
        <w:rPr>
          <w:b/>
          <w:bCs/>
          <w:sz w:val="24"/>
          <w:szCs w:val="24"/>
        </w:rPr>
        <w:t xml:space="preserve">CUARTO. </w:t>
      </w:r>
      <w:r>
        <w:rPr>
          <w:sz w:val="24"/>
          <w:szCs w:val="24"/>
        </w:rPr>
        <w:t>Ordenar las medidas necesarias para prevenir cualquier suspensión, degradación, bloqueo o afectación de las herramientas tecnológicas y operativas indispensables para la prestación del servicio de salud del magisterio.</w:t>
      </w:r>
    </w:p>
    <w:p w14:paraId="00000030" w14:textId="77777777" w:rsidR="001E3522" w:rsidRDefault="007F76F7">
      <w:pPr>
        <w:spacing w:before="240" w:after="240"/>
        <w:jc w:val="both"/>
        <w:rPr>
          <w:sz w:val="24"/>
          <w:szCs w:val="24"/>
        </w:rPr>
      </w:pPr>
      <w:r>
        <w:rPr>
          <w:b/>
          <w:bCs/>
          <w:sz w:val="24"/>
          <w:szCs w:val="24"/>
        </w:rPr>
        <w:t>QUINTO.</w:t>
      </w:r>
      <w:r>
        <w:rPr>
          <w:sz w:val="24"/>
          <w:szCs w:val="24"/>
        </w:rPr>
        <w:t xml:space="preserve"> Garantizar la protección de la información personal y sensible en salud de los afiliados y beneficiarios del sistema.</w:t>
      </w:r>
    </w:p>
    <w:p w14:paraId="00000031" w14:textId="77777777" w:rsidR="001E3522" w:rsidRDefault="007F76F7">
      <w:pPr>
        <w:spacing w:before="240" w:after="240"/>
        <w:jc w:val="both"/>
        <w:rPr>
          <w:sz w:val="24"/>
          <w:szCs w:val="24"/>
        </w:rPr>
      </w:pPr>
      <w:r>
        <w:rPr>
          <w:b/>
          <w:bCs/>
          <w:sz w:val="24"/>
          <w:szCs w:val="24"/>
        </w:rPr>
        <w:t>SEXTO.</w:t>
      </w:r>
      <w:r>
        <w:rPr>
          <w:sz w:val="24"/>
          <w:szCs w:val="24"/>
        </w:rPr>
        <w:t xml:space="preserve"> Disponer mecanismos de coordinación institucional que permitan asegurar la continuidad, integralidad y oportunidad en la prestación del servicio de salud del magisterio colombiano.</w:t>
      </w:r>
    </w:p>
    <w:p w14:paraId="00000032" w14:textId="77777777" w:rsidR="001E3522" w:rsidRDefault="001E3522">
      <w:pPr>
        <w:spacing w:before="240" w:after="240"/>
        <w:jc w:val="both"/>
        <w:rPr>
          <w:b/>
          <w:bCs/>
          <w:sz w:val="24"/>
          <w:szCs w:val="24"/>
        </w:rPr>
      </w:pPr>
    </w:p>
    <w:p w14:paraId="00000033" w14:textId="77777777" w:rsidR="001E3522" w:rsidRDefault="007F76F7">
      <w:pPr>
        <w:spacing w:before="240" w:after="240"/>
        <w:jc w:val="both"/>
        <w:rPr>
          <w:b/>
          <w:bCs/>
          <w:sz w:val="24"/>
          <w:szCs w:val="24"/>
        </w:rPr>
      </w:pPr>
      <w:r>
        <w:rPr>
          <w:b/>
          <w:bCs/>
          <w:sz w:val="24"/>
          <w:szCs w:val="24"/>
        </w:rPr>
        <w:t>V. PRUEBAS</w:t>
      </w:r>
    </w:p>
    <w:p w14:paraId="00000034" w14:textId="77777777" w:rsidR="001E3522" w:rsidRDefault="007F76F7">
      <w:pPr>
        <w:spacing w:before="240" w:after="240"/>
        <w:jc w:val="both"/>
        <w:rPr>
          <w:sz w:val="24"/>
          <w:szCs w:val="24"/>
        </w:rPr>
      </w:pPr>
      <w:r>
        <w:rPr>
          <w:sz w:val="24"/>
          <w:szCs w:val="24"/>
        </w:rPr>
        <w:t>Solicito se tengan como pruebas las obrantes dentro del expediente de tutela.</w:t>
      </w:r>
    </w:p>
    <w:p w14:paraId="00000035" w14:textId="77777777" w:rsidR="001E3522" w:rsidRDefault="007F76F7">
      <w:pPr>
        <w:spacing w:before="240" w:after="240"/>
        <w:jc w:val="both"/>
        <w:rPr>
          <w:b/>
          <w:bCs/>
          <w:sz w:val="24"/>
          <w:szCs w:val="24"/>
        </w:rPr>
      </w:pPr>
      <w:r>
        <w:rPr>
          <w:b/>
          <w:bCs/>
          <w:sz w:val="24"/>
          <w:szCs w:val="24"/>
        </w:rPr>
        <w:t>VI. NOTIFICACIONES</w:t>
      </w:r>
    </w:p>
    <w:p w14:paraId="00000036" w14:textId="77777777" w:rsidR="001E3522" w:rsidRDefault="007F76F7">
      <w:pPr>
        <w:spacing w:before="240" w:after="240"/>
        <w:contextualSpacing/>
        <w:jc w:val="both"/>
        <w:rPr>
          <w:sz w:val="24"/>
          <w:szCs w:val="24"/>
        </w:rPr>
      </w:pPr>
      <w:r>
        <w:rPr>
          <w:sz w:val="24"/>
          <w:szCs w:val="24"/>
        </w:rPr>
        <w:t>Dirección:____________________________</w:t>
      </w:r>
    </w:p>
    <w:p w14:paraId="33EBD1A7" w14:textId="77777777" w:rsidR="00E83CA4" w:rsidRDefault="007F76F7">
      <w:pPr>
        <w:spacing w:before="240" w:after="240"/>
        <w:contextualSpacing/>
        <w:jc w:val="both"/>
        <w:rPr>
          <w:sz w:val="24"/>
          <w:szCs w:val="24"/>
        </w:rPr>
      </w:pPr>
      <w:r>
        <w:rPr>
          <w:sz w:val="24"/>
          <w:szCs w:val="24"/>
        </w:rPr>
        <w:t>Correo electrónico: __________________________</w:t>
      </w:r>
    </w:p>
    <w:p w14:paraId="00000037" w14:textId="78D6BE12" w:rsidR="001E3522" w:rsidRDefault="007F76F7">
      <w:pPr>
        <w:spacing w:before="240" w:after="240"/>
        <w:contextualSpacing/>
        <w:jc w:val="both"/>
        <w:rPr>
          <w:sz w:val="24"/>
          <w:szCs w:val="24"/>
        </w:rPr>
      </w:pPr>
      <w:r>
        <w:rPr>
          <w:sz w:val="24"/>
          <w:szCs w:val="24"/>
        </w:rPr>
        <w:t>Teléfono: ____________________________________</w:t>
      </w:r>
    </w:p>
    <w:p w14:paraId="3DC7C781" w14:textId="77777777" w:rsidR="00E83CA4" w:rsidRDefault="00E83CA4">
      <w:pPr>
        <w:spacing w:before="240" w:after="240"/>
        <w:jc w:val="both"/>
        <w:rPr>
          <w:sz w:val="24"/>
          <w:szCs w:val="24"/>
        </w:rPr>
      </w:pPr>
    </w:p>
    <w:p w14:paraId="00000038" w14:textId="77777777" w:rsidR="001E3522" w:rsidRDefault="007F76F7">
      <w:pPr>
        <w:spacing w:before="240" w:after="240"/>
        <w:jc w:val="both"/>
        <w:rPr>
          <w:sz w:val="24"/>
          <w:szCs w:val="24"/>
        </w:rPr>
      </w:pPr>
      <w:r>
        <w:rPr>
          <w:sz w:val="24"/>
          <w:szCs w:val="24"/>
        </w:rPr>
        <w:t>Cordialmente,</w:t>
      </w:r>
    </w:p>
    <w:p w14:paraId="00000039" w14:textId="77777777" w:rsidR="001E3522" w:rsidRDefault="001E3522">
      <w:pPr>
        <w:jc w:val="both"/>
        <w:rPr>
          <w:sz w:val="24"/>
          <w:szCs w:val="24"/>
        </w:rPr>
      </w:pPr>
    </w:p>
    <w:p w14:paraId="0000003A" w14:textId="77777777" w:rsidR="001E3522" w:rsidRDefault="007F76F7">
      <w:pPr>
        <w:spacing w:before="240" w:after="240"/>
        <w:jc w:val="both"/>
        <w:rPr>
          <w:sz w:val="24"/>
          <w:szCs w:val="24"/>
        </w:rPr>
      </w:pPr>
      <w:r>
        <w:rPr>
          <w:sz w:val="24"/>
          <w:szCs w:val="24"/>
        </w:rPr>
        <w:t>NOMBRE</w:t>
      </w:r>
      <w:r>
        <w:rPr>
          <w:sz w:val="24"/>
          <w:szCs w:val="24"/>
        </w:rPr>
        <w:br/>
        <w:t>CARGO</w:t>
      </w:r>
      <w:r>
        <w:rPr>
          <w:sz w:val="24"/>
          <w:szCs w:val="24"/>
        </w:rPr>
        <w:br/>
        <w:t>FECODE</w:t>
      </w:r>
      <w:r>
        <w:rPr>
          <w:sz w:val="24"/>
          <w:szCs w:val="24"/>
        </w:rPr>
        <w:br/>
        <w:t xml:space="preserve">C.C. No. </w:t>
      </w:r>
    </w:p>
    <w:p w14:paraId="0000003B" w14:textId="77777777" w:rsidR="001E3522" w:rsidRDefault="001E3522">
      <w:pPr>
        <w:jc w:val="both"/>
        <w:rPr>
          <w:sz w:val="24"/>
          <w:szCs w:val="24"/>
        </w:rPr>
      </w:pPr>
    </w:p>
    <w:sectPr w:rsidR="001E3522">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50B44" w14:textId="77777777" w:rsidR="003D7607" w:rsidRDefault="003D7607" w:rsidP="00A01EA4">
      <w:pPr>
        <w:spacing w:line="240" w:lineRule="auto"/>
      </w:pPr>
      <w:r>
        <w:separator/>
      </w:r>
    </w:p>
  </w:endnote>
  <w:endnote w:type="continuationSeparator" w:id="0">
    <w:p w14:paraId="7D64B33D" w14:textId="77777777" w:rsidR="003D7607" w:rsidRDefault="003D7607" w:rsidP="00A01E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1EB73A3-447F-40D8-A8ED-523C44CF782B}"/>
  </w:font>
  <w:font w:name="Cambria">
    <w:panose1 w:val="02040503050406030204"/>
    <w:charset w:val="00"/>
    <w:family w:val="roman"/>
    <w:pitch w:val="variable"/>
    <w:sig w:usb0="E00006FF" w:usb1="420024FF" w:usb2="02000000" w:usb3="00000000" w:csb0="0000019F" w:csb1="00000000"/>
    <w:embedRegular r:id="rId2" w:fontKey="{32BC3858-758D-4842-8E8D-D97165DAA5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E3D8B" w14:textId="77777777" w:rsidR="003D7607" w:rsidRDefault="003D7607" w:rsidP="00A01EA4">
      <w:pPr>
        <w:spacing w:line="240" w:lineRule="auto"/>
      </w:pPr>
      <w:r>
        <w:separator/>
      </w:r>
    </w:p>
  </w:footnote>
  <w:footnote w:type="continuationSeparator" w:id="0">
    <w:p w14:paraId="7FE5DD5C" w14:textId="77777777" w:rsidR="003D7607" w:rsidRDefault="003D7607" w:rsidP="00A01E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080480"/>
      <w:docPartObj>
        <w:docPartGallery w:val="Page Numbers (Margins)"/>
        <w:docPartUnique/>
      </w:docPartObj>
    </w:sdtPr>
    <w:sdtEndPr/>
    <w:sdtContent>
      <w:p w14:paraId="452A9777" w14:textId="0BFE4C91" w:rsidR="00A01EA4" w:rsidRDefault="00A01EA4">
        <w:pPr>
          <w:pStyle w:val="Encabezado"/>
        </w:pPr>
        <w:r>
          <w:rPr>
            <w:noProof/>
          </w:rPr>
          <mc:AlternateContent>
            <mc:Choice Requires="wpg">
              <w:drawing>
                <wp:anchor distT="0" distB="0" distL="114300" distR="114300" simplePos="0" relativeHeight="251659264" behindDoc="0" locked="0" layoutInCell="0" allowOverlap="1" wp14:anchorId="5664DF66" wp14:editId="49DA1129">
                  <wp:simplePos x="0" y="0"/>
                  <wp:positionH relativeFrom="rightMargin">
                    <wp:align>center</wp:align>
                  </wp:positionH>
                  <mc:AlternateContent>
                    <mc:Choice Requires="wp14">
                      <wp:positionV relativeFrom="page">
                        <wp14:pctPosVOffset>20000</wp14:pctPosVOffset>
                      </wp:positionV>
                    </mc:Choice>
                    <mc:Fallback>
                      <wp:positionV relativeFrom="page">
                        <wp:posOffset>2137410</wp:posOffset>
                      </wp:positionV>
                    </mc:Fallback>
                  </mc:AlternateContent>
                  <wp:extent cx="488315" cy="237490"/>
                  <wp:effectExtent l="0" t="9525" r="0" b="1016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B3C4B" w14:textId="77777777" w:rsidR="00A01EA4" w:rsidRDefault="00A01EA4">
                                <w:pPr>
                                  <w:pStyle w:val="Encabezado"/>
                                  <w:jc w:val="center"/>
                                </w:pPr>
                                <w:r>
                                  <w:fldChar w:fldCharType="begin"/>
                                </w:r>
                                <w:r>
                                  <w:instrText>PAGE    \* MERGEFORMAT</w:instrText>
                                </w:r>
                                <w:r>
                                  <w:fldChar w:fldCharType="separate"/>
                                </w:r>
                                <w:r>
                                  <w:rPr>
                                    <w:rStyle w:val="Nmerodepgina"/>
                                    <w:b/>
                                    <w:bCs/>
                                    <w:color w:val="3F3151" w:themeColor="accent4" w:themeShade="7F"/>
                                    <w:sz w:val="16"/>
                                    <w:szCs w:val="16"/>
                                    <w:lang w:val="es-ES"/>
                                  </w:rPr>
                                  <w:t>2</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3" name="Group 72"/>
                          <wpg:cNvGrpSpPr>
                            <a:grpSpLocks/>
                          </wpg:cNvGrpSpPr>
                          <wpg:grpSpPr bwMode="auto">
                            <a:xfrm>
                              <a:off x="886" y="3255"/>
                              <a:ext cx="374" cy="374"/>
                              <a:chOff x="1453" y="14832"/>
                              <a:chExt cx="374" cy="374"/>
                            </a:xfrm>
                          </wpg:grpSpPr>
                          <wps:wsp>
                            <wps:cNvPr id="4"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64DF66" id="Grupo 1" o:spid="_x0000_s1026" style="position:absolute;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6DB3C4B" w14:textId="77777777" w:rsidR="00A01EA4" w:rsidRDefault="00A01EA4">
                          <w:pPr>
                            <w:pStyle w:val="Encabezado"/>
                            <w:jc w:val="center"/>
                          </w:pPr>
                          <w:r>
                            <w:fldChar w:fldCharType="begin"/>
                          </w:r>
                          <w:r>
                            <w:instrText>PAGE    \* MERGEFORMAT</w:instrText>
                          </w:r>
                          <w:r>
                            <w:fldChar w:fldCharType="separate"/>
                          </w:r>
                          <w:r>
                            <w:rPr>
                              <w:rStyle w:val="Nmerodepgina"/>
                              <w:b/>
                              <w:bCs/>
                              <w:color w:val="3F3151" w:themeColor="accent4" w:themeShade="7F"/>
                              <w:sz w:val="16"/>
                              <w:szCs w:val="16"/>
                              <w:lang w:val="es-ES"/>
                            </w:rPr>
                            <w:t>2</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bIvgAAANoAAAAPAAAAZHJzL2Rvd25yZXYueG1sRI/BCsIw&#10;EETvgv8QVvCmqY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ArN1si+AAAA2gAAAA8AAAAAAAAA&#10;AAAAAAAABwIAAGRycy9kb3ducmV2LnhtbFBLBQYAAAAAAwADALcAAADyAgAAAAA=&#10;" fillcolor="#84a2c6" stroked="f"/>
                  </v:group>
                  <w10:wrap anchorx="margin" anchory="page"/>
                </v:group>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536B54"/>
    <w:multiLevelType w:val="multilevel"/>
    <w:tmpl w:val="A2F079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522"/>
    <w:rsid w:val="001E3522"/>
    <w:rsid w:val="003D7607"/>
    <w:rsid w:val="004B2814"/>
    <w:rsid w:val="00635D7A"/>
    <w:rsid w:val="007F76F7"/>
    <w:rsid w:val="00A01EA4"/>
    <w:rsid w:val="00B45565"/>
    <w:rsid w:val="00E83C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F5DE01"/>
  <w15:docId w15:val="{CA8F8F5B-E00B-417D-90F8-F4D731A0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A01EA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01EA4"/>
  </w:style>
  <w:style w:type="paragraph" w:styleId="Piedepgina">
    <w:name w:val="footer"/>
    <w:basedOn w:val="Normal"/>
    <w:link w:val="PiedepginaCar"/>
    <w:uiPriority w:val="99"/>
    <w:unhideWhenUsed/>
    <w:rsid w:val="00A01EA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01EA4"/>
  </w:style>
  <w:style w:type="character" w:styleId="Nmerodepgina">
    <w:name w:val="page number"/>
    <w:basedOn w:val="Fuentedeprrafopredeter"/>
    <w:uiPriority w:val="99"/>
    <w:unhideWhenUsed/>
    <w:rsid w:val="00A01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09cctobt@cendoj.ramajudicial.gov.c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1739</Words>
  <Characters>9570</Characters>
  <Application>Microsoft Office Word</Application>
  <DocSecurity>0</DocSecurity>
  <Lines>79</Lines>
  <Paragraphs>22</Paragraphs>
  <ScaleCrop>false</ScaleCrop>
  <Company/>
  <LinksUpToDate>false</LinksUpToDate>
  <CharactersWithSpaces>11287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2026-05-26T15:21:00Z</dcterms:created>
  <dcterms:modified xsi:type="dcterms:W3CDTF">2026-05-26T15:21:00Z</dcterms:modified>
</cp:coreProperties>
</file>